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281 vom 18. März 1982</w:t>
      </w:r>
    </w:p>
    <w:p>
      <w:r>
        <w:t>Bundesgericht (BGE), 1982-03-18, DE</w:t>
      </w:r>
    </w:p>
    <w:p>
      <w:r>
        <w:rPr>
          <w:b/>
        </w:rPr>
        <w:t xml:space="preserve">Quelle: </w:t>
      </w:r>
      <w:r>
        <w:t>https://mcp.opencaselaw.ch/entscheid/bge_108 IB 281</w:t>
      </w:r>
    </w:p>
    <w:p>
      <w:r>
        <w:t>FR: BGE 108 IB 281 du 18 mars 1982</w:t>
      </w:r>
    </w:p>
    <w:p>
      <w:r>
        <w:t>IT: BGE 108 IB 281 del 18 marzo 1982</w:t>
      </w:r>
    </w:p>
    <w:p>
      <w:pPr>
        <w:pStyle w:val="Heading2"/>
      </w:pPr>
      <w:r>
        <w:t>Regeste</w:t>
      </w:r>
    </w:p>
    <w:p>
      <w:r>
        <w:t>Regeste Versicherungsaufsicht; Ausnahme davon im Sinne von Art. 4 Abs. 1 lit. b VAG. Eine Versicherungseinrichtung ist dann als von geringer wirtschaftlicher Bedeutung zu werten, wenn deren völlige Insolvenz nicht in dem Sinne eine ernsthafte Notlage zur Folge haben würde, dass die einzelnen Versicherten grössere Schäden selbst zu tragen hätten oder dass ein grosser Teil der Bevölkerung - wenn auch im Einzelfall nicht unbedingt sehr schwerwiegend - getroffen würde.</w:t>
      </w:r>
    </w:p>
    <w:p>
      <w:pPr>
        <w:pStyle w:val="Heading2"/>
      </w:pPr>
      <w:r>
        <w:t>Erwägungen</w:t>
      </w:r>
    </w:p>
    <w:p>
      <w:r>
        <w:rPr>
          <w:b/>
        </w:rPr>
        <w:t>E. 1</w:t>
      </w:r>
    </w:p>
    <w:p>
      <w:r>
        <w:t>Die Beschwerdeführerin stellt nicht in Abrede, dass sie als private Versicherungseinrichtung eine gemäss Art. 3 des Versicherungsaufsichtsgesetzes (VAG; SR 961.01) grundsätzlich der Aufsicht unterstellte Tätigkeit ausübt. Indessen macht sie geltend, sie sei gestützt auf Art. 4 Abs. 1 lit. b VAG davon auszunehmen. Nach dieser Bestimmung sind der Aufsicht nicht unterstellt die Versicherungseinrichtungen von geringer wirtschaftlicher BGE 108 Ib 281 S. 283 Bedeutung, nämlich solche, die keinen grossen Kreis von Versicherten haben und deren versicherte Leistungen nicht erheblich sind.</w:t>
      </w:r>
    </w:p>
    <w:p>
      <w:r>
        <w:rPr>
          <w:b/>
        </w:rPr>
        <w:t>E. 2</w:t>
      </w:r>
    </w:p>
    <w:p>
      <w:r>
        <w:t>ob diese Voraussetzungen in einem bestimmten Fall erfüllt seien, ist eine Frage des Ermessens, die sich nach dem Zweck der Versicherungsaufsicht beurteilt. Gemäss Art. 1 VAG übt der Bund die Aufsicht über die privaten Versicherungseinrichtungen insbesondere zum Schutze der Versicherten aus. Aus der Botschaft des Bundesrates zum VAG (BBl 1976 II S. 873 ff.) ergibt sich, dass der Begriff des Versicherten im weitesten Sinn zu verstehen ist. Durch die Aufsicht sollen geschützt werden: der Versicherungsnehmer, der Versicherte im versicherungsvertraglichen Sinn, der Anspruchsberechtigte und der Geschädigte. Es handelt sich dabei um einen Schutz vor technischer und finanzieller Insuffizienz und Insolvenz der Versicherungseinrichtungen, vor Täuschung durch unklare Einrichtungen, unwahre Kundgebungen sowie falsche Angaben und vor zu hoher Prämienbelastung; ferner soll vor Versicherungsbedingungen, die mit zwingenden Bestimmungen des Versicherungsvertragsgesetzes in Widerspruch stehen, und vor sachwidriger Gestaltung der Versicherungsbedingungen, deren Tragweite der Versicherte nicht zu überblicken vermag, geschützt werden (BBl a.a.O. S. 892). Der mit der Aufsicht angestrebte Schutz bezieht sich indessen nicht nur auf Individualinteressen, sondern es soll auch die öffentliche Ordnung gewahrt werden (BBl a.a.O. S. 893). In der Botschaft zum Bundesgesetz vom 25. Juni 1885 betreffend Beaufsichtigung von Privatunternehmungen im Gebiete des Versicherungswesens hatte der Bundesrat darauf hingewiesen, dass der Zusammenbruch einer Lebensversicherungsgesellschaft geradezu ein Landesunglück wäre (BBl 1885 I S. 117). Weiter wurde festgehalten, dass die Verantwortlichkeit, die der Staat mit der Versicherungsaufsicht auf sich nehme, zwar gross sei, dass aber die Verantwortlichkeit im Falle einer Katastrophe wohl nicht minder schwer wäre. Eine solche Katastrophe könne der Staat zwar nicht vermeiden, jedoch vielleicht mildern, wenn er so viel Aufsicht ausübe, als ihm der Natur der Sache nach möglich sei und ihm vernünftigerweise zugemutet werden könne. Um mehr gehe es nicht (BBl 1885 I S. 119 f.). Letzteres trifft im wesentlichen auch auf das heute geltende Gesetz zu. Dass die für die Befreiung von der Aufsicht in Art. 1 Abs. 2 des früheren Gesetzes enthaltene Voraussetzung der örtlichen Beschränktheit der Geschäftstätigkeit im neuen Recht fallen gelassen wurde, vermag daran nichts zu ändern. BGE 108 Ib 281 S. 284 Aus dem Gesagten erhellt, dass eine Versicherungseinrichtung dann als von geringer wirtschaftlicher Bedeutung im Sinne von Art. 4 Abs. 1 lit. b VAG zu werten ist, wenn ein allfälliger auf schlechte Geschäftsführung zurückzuführender finanzieller Zusammenbruch derselben nicht zu einer landesweiten Katastrophe führen würde; d.h. wenn eine völlige Insolvenz des Versicherungsunternehmens nicht in dem Sinne eine ernsthafte Notlage zur Folge haben würde, dass die einzelnen Versicherten grössere Schäden selbst zu tragen hätten oder dass ein grosser Teil der Bevölkerung - wenn auch im Einzelfall nicht unbedingt sehr schwerwiegend - getroffen würde. Unter dem Gesichtspunkt der Unterstellung einer Versicherungseinrichtung unter die Aufsicht besteht demnach zwischen der Zahl der durch eine Insolvenz Betroffenen und der Höhe des vom einzelnen zu tragenden Ausfalles in dem Sinne ein Zusammenhang, als auch verhältnismässig kleine Ausfälle an Leistungen in Betracht zu ziehen sind, wenn sie eine grosse Zahl von Versicherten treffen. Von Bedeutung sind in dieser Hinsicht ferner die jeweiligen finanziellen, aber auch die persönlichen Verhältnisse der Versicherten, haben doch nicht ausbezahlte Versicherungsleistungen je nach Lebensbereich, in den die Versicherung fällt, unterschiedliche Auswirkungen. Es ist nicht das gleiche, ob Versicherungsleistungen für den Ersatz von Vermögenswerten bestimmt sind, die der Versicherte bei der Ausübung seiner Erwerbstätigkeit benötigt, oder für die Wiederanschaffung eines Gegenstandes, den dieser beispielsweise bei einer Freizeitbeschäftigung benützt.</w:t>
      </w:r>
    </w:p>
    <w:p>
      <w:r>
        <w:rPr>
          <w:b/>
        </w:rPr>
        <w:t>E. 3</w:t>
      </w:r>
    </w:p>
    <w:p>
      <w:r>
        <w:t>a) Dem von der Beschwerdeführerin eingereichten Jahresbericht 1978/79 ist zu entnehmen, dass bei ihr am 30. September 1979 folgende Tiere versichert waren: 308 Landwirtschaftspferde zu durchschnittlich Fr. 2'791.--, 438 Reitpferde und Ponys zu durchschnittlich Fr. 5'063.--, 47 Reitpferde zu durchschnittlich Fr. 10'000.--, 14 Reitpferde zu durchschnittlich Fr. 11'000.-- bis Fr. 14'000.--, 10 Reitpferde zu durchschnittlich Fr. 15'000.--, 49 Fohlen zu durchschnittlich Fr. 2'557.-- und 3 Esel zu durchschnittlich Fr. 800.--. Pferde können bei der Beschwerdeführerin bis zu einer Schatzungssumme von Fr. 15'000.-- versichert werden, und die Entschädigung kann bis zu 80% der Schatzungssumme betragen. Der höchstmögliche Ausfall, den ein Versicherter bei einer völligen Insolvenz der Beschwerdeführerin pro Schadenfall erleiden könnte, beläuft sich somit auf Fr. 12'000.--. Werden die für das Geschäftsjahr 1978/79 angeführten Zahlen BGE 108 Ib 281 S. 285 betrachtet, würden die möglichen Ausfälle nicht ganz Fr. 2'233.-- für ein Landwirtschaftspferd und etwa Fr. 8'000.-- für ein mittleres Reitpferd betragen. Die Beschwerdeführerin bringt mit Recht vor, dass - abgesehen von den Landwirtschaftspferden - die Haltung eines Pferdes in der Regel nicht zur Existenzgrundlage des Halters gehört. Der Ausfall von durchschnittlich Fr. 8'000.-- bis 10'000.-- dürfte für einen solchen Halter etwa das gleiche bedeuten wie der Ausfall von etwa Fr. 2'233.-- für einen Landwirt. Gewiss sind die Folgen schwerwiegender für den Halter mehrerer Tiere, etwa für den Inhaber einer Reitschule. Die Zahl solcher Halter ist jedoch nicht sehr hoch, wenn man bedenkt, dass am 30. September 1979 insgesamt 869 Tiere versichert waren und die Beschwerdeführerin selbst von 560 Pferdebesitzern spricht. Aus dem Gesagten erhellt, dass ein Ausfall der Versicherungsleistungen zufolge Insolvenz der Beschwerdeführerin für die meisten Versicherten keine allzu schweren Folgen hätte. Der Verlust dürfte in sehr vielen Fällen in der Grössenordnung eines Monatseinkommens liegen. Die versicherten Leistungen erscheinen bei dieser Sachlage als nicht erheblich. b) Die Zahl der Versicherten beträgt nach den Ausführungen der Beschwerdeführerin 560, wobei von den am 30. September 1978 versicherten 763 Tieren allein 659 im Kanton Zürich standen und die übrigen 104 sich auf die Kantone Aargau, Thurgau, Luzern, Zug und Tessin verteilten. Gemessen an den Bevölkerungen dieser Kantone ist die erwähnte Zahl sehr klein, so dass nicht von einem grossen Kreis von Versicherten gesprochen werden kann. c) Zusammengefasst ergibt sich, dass im unwahrscheinlichen Fall, dass alle möglichen Schadenfälle gleichzeitig eintreten sollten und dass die Beschwerdeführerin wegen völliger Insolvenz ihre Leistungen nicht erbringen könnte, der grössere Teil von etwa 560 Tierhaltern Verluste erleiden würde, die im Bereiche der jeweiligen Monatseinkommen lägen. Die Beschwerdeführerin ist unter diesen Umständen als Versicherungseinrichtung von geringer wirtschaftlicher Bedeutung im Sinne von Art. 4 Abs. 1 lit. b VAG zu bezeichnen. Daran vermag auch der Hinweis der Vorinstanz auf andere kleinere Versicherungen, die der Aufsicht unterliegen, nichts zu ändern. Mit einer Ausnahme handelt es sich bei den von der Vorinstanz erwähnten Einrichtungen um Rechtsschutzversicherungen. Solche sind aufgrund des Bundesratsbeschlusses über die Rechtsschutzversicherung (SR 961.22) ohnehin in jedem Fall BGE 108 Ib 281 S. 286 der Aufsicht unterworfen. Was die "Unfallversicherung schweizerischer Schützenvereine" betrifft, so lässt sich diese von vornherein nicht mit der Beschwerdeführerin vergleichen, da sie auch die Haftpflichtversicherung betreibt und nicht nur Sach-, sondern ebenfalls Personenschäden deckt.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